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E70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01.01.2023 существенно сокращены виды деятельности, по которым ИП могут применять единый налог</w:t>
      </w: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bookmarkEnd w:id="0"/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Так, из объектов обложения единым налогом исключены следующие виды деятельности (подп. 1.1 ст. 337 НК-2022, подп. 2.7 ст. 336, подп. 1.1 ст. 337 НК):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техническое обслуживание и ремонт автомобилей, мотоциклов, мотороллеров и мопедов, услуги по восстановлению резиновых шин и покрышек, услуги по диагностированию транспортных средств, буксировка транспортных средств, оказание технической помощи в пути;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предоставление услуг парикмахерскими и салонами красоты, услуги по нанесению татуировки, нательной живописи, перманентного макияжа, услуги по пирсингу;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деятельность грузового речного транспорта и грузового автомобильного транспорта, деятельность по перегону, перевозке, доставке из-за границы (за границу) автомототранспортных средств;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строительство зданий, специальные строительные работы</w:t>
      </w:r>
      <w:r w:rsidR="003002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бурение водяных скважин, 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медицинская, в том числе стоматологическая, практика, прочая деятельность по охране здоровья;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деятельность по чистке и уборке;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деятельность, способствующая выращиванию сельскохозяйственных культур и разведению животных;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предоставление социальных услуг без обеспечения проживания;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репетиторство;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стирка и глаженье постельного белья и другие вещи в домашних хозяйствах граждан,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трав, уборка озелененной территории от листьев, скошенной травы и мусора;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предоставление индивидуальных услуг с помощью автоматов для измерения роста, веса;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предоставление услуг по содержанию домашних животных, дрессировке и уходу за ними;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сдача в аренду (субаренду), наем жилых помещений, садовых домиков, дач, </w:t>
      </w:r>
      <w:proofErr w:type="spellStart"/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машино</w:t>
      </w:r>
      <w:proofErr w:type="spellEnd"/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-мест (кроме предоставления мест для краткосрочного проживания).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виды деятельности, поименованные в подп. 3.1 ст. 337 НК (</w:t>
      </w:r>
      <w:proofErr w:type="spellStart"/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абз</w:t>
      </w:r>
      <w:proofErr w:type="spellEnd"/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9 подп. 2.7 ст. 336 НК).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напомним, что, как и ранее, система уплаты единого налога не применяется при осуществлении ИП розничной торговли ювелирными и другими бытовыми изделиями из драгоценных металлов и драгоценных камней, специфическими товарами, табачными изделиями, нефтепродуктами через автозаправочные станции, ценными бумагами, газетами и журналами, всеми видами изделий из натурального меха, мебелью, </w:t>
      </w:r>
      <w:proofErr w:type="spellStart"/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электрохолодильниками</w:t>
      </w:r>
      <w:proofErr w:type="spellEnd"/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бытовыми и морозильниками, машинами стиральными бытовыми, телевизионными приемниками цветного и черно-белого изображения, компьютерами бытовыми персональными, ноутбуками, их составными частями и узлами, электронными книгами, планшетными компьютерами, мобильными телефонами, запасными частями к автомобилям, автомототранспортными средствами.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с 2023 г. дополнено, что под единый налог также не подпадает розничная торговля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(подп. 1.2.6 ст. 337 НК).</w:t>
      </w:r>
    </w:p>
    <w:p w:rsidR="008E705C" w:rsidRPr="008E705C" w:rsidRDefault="008E705C" w:rsidP="008E705C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в отношении перечисленных видов деятельности с 01.01.2023 ИП должны применять иной порядок налогообложения. Отметим, что с 2023 г. ИП также не могут применять УСН, следовательно, по исключенным для единого налога видам деятельности ИП обязаны уплачивать подоходный налог (п. 1 ст. 324, гл. 18 НК).</w:t>
      </w:r>
    </w:p>
    <w:p w:rsidR="008E705C" w:rsidRPr="008E705C" w:rsidRDefault="008E705C" w:rsidP="008B5F09">
      <w:pPr>
        <w:spacing w:after="0" w:line="39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тех, кто уплатил за I квартал 2023 г. единый налог, но с 01.01.2023 утратил право его применять, установлена обязанность представить уточненную декларацию по единому налогу за I квартал 2023 г. в срок не позднее 31.01.2023 (ч. 4 п. 8 ст. 5 Закона N 230-З).</w:t>
      </w:r>
    </w:p>
    <w:sectPr w:rsidR="008E705C" w:rsidRPr="008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5C"/>
    <w:rsid w:val="003002FF"/>
    <w:rsid w:val="00690032"/>
    <w:rsid w:val="006F1072"/>
    <w:rsid w:val="008B5F09"/>
    <w:rsid w:val="008E705C"/>
    <w:rsid w:val="009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637C"/>
  <w15:chartTrackingRefBased/>
  <w15:docId w15:val="{3929ECFB-3CF2-4324-9EA7-F3DD7489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 Оксана Александровна</dc:creator>
  <cp:keywords/>
  <dc:description/>
  <cp:lastModifiedBy>Колеуш Елена Владимировна</cp:lastModifiedBy>
  <cp:revision>3</cp:revision>
  <dcterms:created xsi:type="dcterms:W3CDTF">2023-01-10T08:07:00Z</dcterms:created>
  <dcterms:modified xsi:type="dcterms:W3CDTF">2023-01-16T09:49:00Z</dcterms:modified>
</cp:coreProperties>
</file>