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bookmarkStart w:id="0" w:name="_GoBack"/>
      <w:bookmarkEnd w:id="0"/>
    </w:p>
    <w:p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Профилактика ВИЧ-инфекции.</w:t>
      </w:r>
    </w:p>
    <w:p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Касается каждого.</w:t>
      </w:r>
    </w:p>
    <w:p>
      <w:pPr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</w:rPr>
      </w:pPr>
    </w:p>
    <w:p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drawing>
          <wp:anchor distT="0" distB="0" distL="114300" distR="114300" simplePos="0" relativeHeight="251669504" behindDoc="1" locked="0" layoutInCell="1" allowOverlap="1">
            <wp:simplePos x="0" y="0"/>
            <wp:positionH relativeFrom="column">
              <wp:posOffset>-3810</wp:posOffset>
            </wp:positionH>
            <wp:positionV relativeFrom="paragraph">
              <wp:posOffset>36830</wp:posOffset>
            </wp:positionV>
            <wp:extent cx="1571625" cy="1933575"/>
            <wp:effectExtent l="0" t="0" r="9525" b="9525"/>
            <wp:wrapThrough wrapText="bothSides">
              <wp:wrapPolygon>
                <wp:start x="0" y="0"/>
                <wp:lineTo x="0" y="21494"/>
                <wp:lineTo x="21469" y="21494"/>
                <wp:lineTo x="21469" y="0"/>
                <wp:lineTo x="0" y="0"/>
              </wp:wrapPolygon>
            </wp:wrapThrough>
            <wp:docPr id="9" name="Рисунок 9" descr="E:\Гурман_Д\Desktop\картинки\2451_VICH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Рисунок 9" descr="E:\Гурман_Д\Desktop\картинки\2451_VICH6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571625" cy="1933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="Times New Roman" w:hAnsi="Times New Roman" w:cs="Times New Roman"/>
          <w:sz w:val="28"/>
          <w:szCs w:val="28"/>
        </w:rPr>
        <w:t xml:space="preserve">За последние десятилетия ВИЧ-инфекция перестала считаться смертельно опасной — она перешла в разряд хронических контролируемых заболеваний. Вирус иммунодефицита хорошо изучен, разработаны препараты антиретровирусной терапии, которые  замедляют развитие ВИЧ-инфекции, что дает возможность людям с ВИЧ жить полноценной жизнью. Однако, лекарств, полностью излечивающих это заболевание, пока нет, и профилактика остается важным звеном в противодействии эпидемии.  </w:t>
      </w:r>
    </w:p>
    <w:p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нашей стране за весь период наблюдения умерло более 10,5 тысяч человек, у которых был установлен диагноз «ВИЧ-инфекция» − это треть всех случаев, зарегистрированных с 1987 года по настоящее время. Большинство летальных случаев среди ВИЧ-положительных пациентов было констатировано до 2019 года, когда эффективное лечение не было общедоступно.  </w:t>
      </w:r>
    </w:p>
    <w:p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Сегодня с диагнозом «ВИЧ-инфекция» в столице и регионах страны проживают более </w:t>
      </w:r>
      <w:r>
        <w:rPr>
          <w:rFonts w:ascii="Times New Roman" w:hAnsi="Times New Roman" w:cs="Times New Roman"/>
          <w:b/>
          <w:sz w:val="28"/>
          <w:szCs w:val="28"/>
        </w:rPr>
        <w:t>25,5 тысяч  человек</w:t>
      </w:r>
      <w:r>
        <w:rPr>
          <w:rFonts w:ascii="Times New Roman" w:hAnsi="Times New Roman" w:cs="Times New Roman"/>
          <w:sz w:val="28"/>
          <w:szCs w:val="28"/>
        </w:rPr>
        <w:t xml:space="preserve">;  ежегодно регистрируется более  тысячи  новых случаев ВИЧ-инфекции, наибольшее количество среди мужчин и женщин в возрасте </w:t>
      </w:r>
      <w:r>
        <w:rPr>
          <w:rFonts w:ascii="Times New Roman" w:hAnsi="Times New Roman" w:cs="Times New Roman"/>
          <w:b/>
          <w:sz w:val="28"/>
          <w:szCs w:val="28"/>
        </w:rPr>
        <w:t>от 30 до 49 лет</w:t>
      </w:r>
      <w:r>
        <w:rPr>
          <w:rFonts w:ascii="Times New Roman" w:hAnsi="Times New Roman" w:cs="Times New Roman"/>
          <w:sz w:val="28"/>
          <w:szCs w:val="28"/>
        </w:rPr>
        <w:t xml:space="preserve">, преобладает </w:t>
      </w:r>
      <w:r>
        <w:rPr>
          <w:rFonts w:ascii="Times New Roman" w:hAnsi="Times New Roman" w:cs="Times New Roman"/>
          <w:b/>
          <w:sz w:val="28"/>
          <w:szCs w:val="28"/>
        </w:rPr>
        <w:t>половой путь передачи ВИЧ-инфекции</w:t>
      </w:r>
      <w:r>
        <w:rPr>
          <w:rFonts w:ascii="Times New Roman" w:hAnsi="Times New Roman" w:cs="Times New Roman"/>
          <w:sz w:val="28"/>
          <w:szCs w:val="28"/>
        </w:rPr>
        <w:t xml:space="preserve">, который составляет более 80% от всех регистрируемых случаев. Почти половина всех людей, живущих с ВИЧ </w:t>
      </w:r>
      <w:r>
        <w:rPr>
          <w:rFonts w:ascii="Times New Roman" w:hAnsi="Times New Roman" w:cs="Times New Roman"/>
          <w:sz w:val="28"/>
          <w:szCs w:val="28"/>
        </w:rPr>
        <w:br w:type="textWrapping"/>
      </w:r>
      <w:r>
        <w:rPr>
          <w:rFonts w:ascii="Times New Roman" w:hAnsi="Times New Roman" w:cs="Times New Roman"/>
          <w:sz w:val="28"/>
          <w:szCs w:val="28"/>
        </w:rPr>
        <w:t>в нашей стране – люди трудоспособного возраста (рабочие и служащие), живущие в браке или имеющие постоянного полового партнера и не относящие себя к так называемым ключевым группам. Большинство людей, живущих с ВИЧ, обычно скрывает свой диагноз в силу внутренней стигмы*  или опасаясь стигмы внешней.</w:t>
      </w:r>
    </w:p>
    <w:p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#Профилактика ВИЧ  //  Что делает государство</w:t>
      </w:r>
    </w:p>
    <w:p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</w:p>
    <w:p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Медицинские меры профилактики ВИЧ-инфекции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 xml:space="preserve">находятся под контролем государства (учреждений здравоохранения). </w:t>
      </w:r>
      <w:r>
        <w:rPr>
          <w:rFonts w:ascii="Times New Roman" w:hAnsi="Times New Roman" w:cs="Times New Roman"/>
          <w:bCs/>
          <w:sz w:val="28"/>
          <w:szCs w:val="28"/>
        </w:rPr>
        <w:br w:type="textWrapping"/>
      </w:r>
      <w:r>
        <w:rPr>
          <w:rFonts w:ascii="Times New Roman" w:hAnsi="Times New Roman" w:cs="Times New Roman"/>
          <w:sz w:val="28"/>
          <w:szCs w:val="28"/>
        </w:rPr>
        <w:t xml:space="preserve">С 2018 года в Беларуси обеспечен доступ пациентов к антиретровирусной терапии: государство гарантирует предоставление лечения ВИЧ-инфекции всем людям, живущим с ВИЧ, независимо от стадии болезни и уровня иммунитета. На сегодняшний день в республике  более 90%  людей, живущих с ВИЧ, получают антиретровирусную терапию, у 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большинства  лечение эффективно.</w:t>
      </w:r>
    </w:p>
    <w:p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drawing>
          <wp:anchor distT="0" distB="0" distL="114300" distR="114300" simplePos="0" relativeHeight="251674624" behindDoc="1" locked="0" layoutInCell="1" allowOverlap="1">
            <wp:simplePos x="0" y="0"/>
            <wp:positionH relativeFrom="column">
              <wp:posOffset>4872990</wp:posOffset>
            </wp:positionH>
            <wp:positionV relativeFrom="paragraph">
              <wp:posOffset>32385</wp:posOffset>
            </wp:positionV>
            <wp:extent cx="1159510" cy="1069975"/>
            <wp:effectExtent l="0" t="0" r="2540" b="0"/>
            <wp:wrapTight wrapText="bothSides">
              <wp:wrapPolygon>
                <wp:start x="0" y="0"/>
                <wp:lineTo x="0" y="21151"/>
                <wp:lineTo x="21292" y="21151"/>
                <wp:lineTo x="21292" y="0"/>
                <wp:lineTo x="0" y="0"/>
              </wp:wrapPolygon>
            </wp:wrapTight>
            <wp:docPr id="1" name="Рисунок 1" descr="E:\Гурман_Д\Desktop\картинки\19417_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1" descr="E:\Гурман_Д\Desktop\картинки\19417_1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159510" cy="1069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="Times New Roman" w:hAnsi="Times New Roman" w:cs="Times New Roman"/>
          <w:sz w:val="28"/>
          <w:szCs w:val="28"/>
        </w:rPr>
        <w:t xml:space="preserve">Беременной женщине, живущей с ВИЧ, </w:t>
      </w:r>
      <w:r>
        <w:rPr>
          <w:rFonts w:ascii="Times New Roman" w:hAnsi="Times New Roman" w:cs="Times New Roman"/>
          <w:sz w:val="28"/>
          <w:szCs w:val="28"/>
        </w:rPr>
        <w:br w:type="textWrapping"/>
      </w:r>
      <w:r>
        <w:rPr>
          <w:rFonts w:ascii="Times New Roman" w:hAnsi="Times New Roman" w:cs="Times New Roman"/>
          <w:sz w:val="28"/>
          <w:szCs w:val="28"/>
        </w:rPr>
        <w:t xml:space="preserve">и новорожденному с целью предотвращения передачи ВИЧ ребенку назначаются антиретровирусные препараты, </w:t>
      </w:r>
      <w:r>
        <w:rPr>
          <w:rFonts w:ascii="Times New Roman" w:hAnsi="Times New Roman" w:cs="Times New Roman"/>
          <w:sz w:val="28"/>
          <w:szCs w:val="28"/>
        </w:rPr>
        <w:br w:type="textWrapping"/>
      </w:r>
      <w:r>
        <w:rPr>
          <w:rFonts w:ascii="Times New Roman" w:hAnsi="Times New Roman" w:cs="Times New Roman"/>
          <w:sz w:val="28"/>
          <w:szCs w:val="28"/>
        </w:rPr>
        <w:t>с рождения рекомендуется искусственное вскармливание. Благодаря этим мерам так называемый «вертикальный путь» передачи ВИЧ практически исключен.</w:t>
      </w:r>
    </w:p>
    <w:p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Для исключения риска заражения вирусом иммунодефицита человека через донорскую кровь и ее компоненты в учреждениях службы крови отработана система тестирования и отбора доноров;  строго ограничены показания к переливанию крови и ее компонентов. В медицинских учреждениях имеются все необходимые условия для недопущения распространения ВИЧ, в том числе: обеспечение одноразовыми медицинскими изделиями (шприцы, системы для внутривенных инфузий </w:t>
      </w:r>
      <w:r>
        <w:rPr>
          <w:rFonts w:ascii="Times New Roman" w:hAnsi="Times New Roman" w:cs="Times New Roman"/>
          <w:sz w:val="28"/>
          <w:szCs w:val="28"/>
        </w:rPr>
        <w:br w:type="textWrapping"/>
      </w:r>
      <w:r>
        <w:rPr>
          <w:rFonts w:ascii="Times New Roman" w:hAnsi="Times New Roman" w:cs="Times New Roman"/>
          <w:sz w:val="28"/>
          <w:szCs w:val="28"/>
        </w:rPr>
        <w:t xml:space="preserve">и другое), медицинской техникой для проведения стерилизации изделий многократного применения. </w:t>
      </w:r>
    </w:p>
    <w:p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отдельных группах повышенного риска реализуются специальные профилактические меры, в  определенных случаях назначается доконтактная и постконтактная профилактика. На базе государственных организаций здравоохранения и негосударственных некоммерческих организаций функционируют кабинеты профилактики ВИЧ-инфекции и анонимно-консультативные пункты, предоставляющие для ключевых групп населения услуги по консультированию, тестированию и социальному сопровождению.</w:t>
      </w:r>
    </w:p>
    <w:p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#Профилактика ВИЧ  //  Начни с себя</w:t>
      </w:r>
    </w:p>
    <w:p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b/>
          <w:sz w:val="28"/>
          <w:szCs w:val="28"/>
          <w:lang w:eastAsia="ru-RU"/>
        </w:rPr>
        <w:drawing>
          <wp:anchor distT="0" distB="0" distL="114300" distR="114300" simplePos="0" relativeHeight="251671552" behindDoc="1" locked="0" layoutInCell="1" allowOverlap="1">
            <wp:simplePos x="0" y="0"/>
            <wp:positionH relativeFrom="column">
              <wp:posOffset>-3810</wp:posOffset>
            </wp:positionH>
            <wp:positionV relativeFrom="paragraph">
              <wp:posOffset>37465</wp:posOffset>
            </wp:positionV>
            <wp:extent cx="1844040" cy="1581150"/>
            <wp:effectExtent l="0" t="0" r="3810" b="0"/>
            <wp:wrapThrough wrapText="bothSides">
              <wp:wrapPolygon>
                <wp:start x="0" y="0"/>
                <wp:lineTo x="0" y="21340"/>
                <wp:lineTo x="21421" y="21340"/>
                <wp:lineTo x="21421" y="0"/>
                <wp:lineTo x="0" y="0"/>
              </wp:wrapPolygon>
            </wp:wrapThrough>
            <wp:docPr id="18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844040" cy="1581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</pic:spPr>
                </pic:pic>
              </a:graphicData>
            </a:graphic>
          </wp:anchor>
        </w:drawing>
      </w:r>
      <w:r>
        <w:rPr>
          <w:rFonts w:ascii="Times New Roman" w:hAnsi="Times New Roman" w:cs="Times New Roman"/>
          <w:sz w:val="28"/>
          <w:szCs w:val="28"/>
        </w:rPr>
        <w:t>В основе личной профилактики</w:t>
      </w:r>
      <w:r>
        <w:rPr>
          <w:rFonts w:ascii="Times New Roman" w:hAnsi="Times New Roman" w:cs="Times New Roman"/>
          <w:b/>
          <w:sz w:val="28"/>
          <w:szCs w:val="28"/>
        </w:rPr>
        <w:t xml:space="preserve"> − </w:t>
      </w:r>
      <w:r>
        <w:rPr>
          <w:rFonts w:ascii="Times New Roman" w:hAnsi="Times New Roman" w:cs="Times New Roman"/>
          <w:sz w:val="28"/>
          <w:szCs w:val="28"/>
        </w:rPr>
        <w:t xml:space="preserve">получение адекватной и полной информации о ВИЧ-инфекции. Достоверные знания служат основой для оценки личных рисков, которая способствует формированию мотивации на самостоятельный </w:t>
      </w:r>
      <w:r>
        <w:rPr>
          <w:rFonts w:ascii="Times New Roman" w:hAnsi="Times New Roman" w:cs="Times New Roman"/>
          <w:sz w:val="28"/>
          <w:szCs w:val="28"/>
        </w:rPr>
        <w:br w:type="textWrapping"/>
      </w:r>
      <w:r>
        <w:rPr>
          <w:rFonts w:ascii="Times New Roman" w:hAnsi="Times New Roman" w:cs="Times New Roman"/>
          <w:sz w:val="28"/>
          <w:szCs w:val="28"/>
        </w:rPr>
        <w:t xml:space="preserve">и осознанный выбор поведенческой модели, препятствующей риску заражения </w:t>
      </w:r>
      <w:r>
        <w:rPr>
          <w:rFonts w:ascii="Times New Roman" w:hAnsi="Times New Roman" w:cs="Times New Roman"/>
          <w:sz w:val="28"/>
          <w:szCs w:val="28"/>
        </w:rPr>
        <w:br w:type="textWrapping"/>
      </w:r>
      <w:r>
        <w:rPr>
          <w:rFonts w:ascii="Times New Roman" w:hAnsi="Times New Roman" w:cs="Times New Roman"/>
          <w:sz w:val="28"/>
          <w:szCs w:val="28"/>
        </w:rPr>
        <w:t xml:space="preserve">и обеспечивающей максимальную защиту от ВИЧ. </w:t>
      </w:r>
    </w:p>
    <w:p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Что надо знать о ВИЧ-инфекции: </w:t>
      </w:r>
    </w:p>
    <w:p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drawing>
          <wp:anchor distT="0" distB="0" distL="114300" distR="114300" simplePos="0" relativeHeight="251670528" behindDoc="1" locked="0" layoutInCell="1" allowOverlap="1">
            <wp:simplePos x="0" y="0"/>
            <wp:positionH relativeFrom="column">
              <wp:posOffset>5025390</wp:posOffset>
            </wp:positionH>
            <wp:positionV relativeFrom="paragraph">
              <wp:posOffset>254000</wp:posOffset>
            </wp:positionV>
            <wp:extent cx="1057275" cy="1047750"/>
            <wp:effectExtent l="0" t="0" r="9525" b="0"/>
            <wp:wrapThrough wrapText="bothSides">
              <wp:wrapPolygon>
                <wp:start x="0" y="0"/>
                <wp:lineTo x="0" y="21207"/>
                <wp:lineTo x="21405" y="21207"/>
                <wp:lineTo x="21405" y="0"/>
                <wp:lineTo x="0" y="0"/>
              </wp:wrapPolygon>
            </wp:wrapThrough>
            <wp:docPr id="13" name="Рисунок 13" descr="E:\Гурман_Д\Desktop\картинки\HIV infectio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Рисунок 13" descr="E:\Гурман_Д\Desktop\картинки\HIV infection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057275" cy="1047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="Times New Roman" w:hAnsi="Times New Roman" w:cs="Times New Roman"/>
          <w:sz w:val="28"/>
          <w:szCs w:val="28"/>
        </w:rPr>
        <w:t xml:space="preserve">ВИЧ-инфекция – это инфекционное заболевание, вызываемое вирусом иммунодефицита человека. Попадая в организм и размножаясь в нем, ВИЧ поражает клетки иммунной системы. Количество таких клеток постепенно уменьшается, </w:t>
      </w:r>
      <w:r>
        <w:rPr>
          <w:rFonts w:ascii="Times New Roman" w:hAnsi="Times New Roman" w:cs="Times New Roman"/>
          <w:sz w:val="28"/>
          <w:szCs w:val="28"/>
        </w:rPr>
        <w:br w:type="textWrapping"/>
      </w:r>
      <w:r>
        <w:rPr>
          <w:rFonts w:ascii="Times New Roman" w:hAnsi="Times New Roman" w:cs="Times New Roman"/>
          <w:sz w:val="28"/>
          <w:szCs w:val="28"/>
        </w:rPr>
        <w:t xml:space="preserve">и человек  становится  более уязвим для различных заболеваний, с которыми здоровая иммунная система эффективно справляется.  </w:t>
      </w:r>
    </w:p>
    <w:p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ВИЧ-инфекция развивается медленно и часто бессимптомно. В течение многих лет она может никак не тревожить человека и не проявлять себя. </w:t>
      </w:r>
      <w:r>
        <w:rPr>
          <w:rFonts w:ascii="Times New Roman" w:hAnsi="Times New Roman" w:cs="Times New Roman"/>
          <w:sz w:val="28"/>
          <w:szCs w:val="28"/>
        </w:rPr>
        <w:br w:type="textWrapping"/>
      </w:r>
      <w:r>
        <w:rPr>
          <w:rFonts w:ascii="Times New Roman" w:hAnsi="Times New Roman" w:cs="Times New Roman"/>
          <w:sz w:val="28"/>
          <w:szCs w:val="28"/>
        </w:rPr>
        <w:t>Но это не значит, что вирус дремлет и не наносит вред организму.</w:t>
      </w:r>
    </w:p>
    <w:p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При отсутствии лечения (антиретровирусной терапии – АРТ) </w:t>
      </w:r>
      <w:r>
        <w:rPr>
          <w:rFonts w:ascii="Times New Roman" w:hAnsi="Times New Roman" w:cs="Times New Roman"/>
          <w:sz w:val="28"/>
          <w:szCs w:val="28"/>
        </w:rPr>
        <w:br w:type="textWrapping"/>
      </w:r>
      <w:r>
        <w:rPr>
          <w:rFonts w:ascii="Times New Roman" w:hAnsi="Times New Roman" w:cs="Times New Roman"/>
          <w:sz w:val="28"/>
          <w:szCs w:val="28"/>
        </w:rPr>
        <w:t xml:space="preserve">у человека, живущего с ВИЧ, может развиться последняя терминальная стадия ВИЧ-инфекции. Она характеризуется развитием так называемых сопутствующих или оппортунистических заболеваний (от лат. «оппортунистический» – «использующий случай»). Эти инфекционные  </w:t>
      </w:r>
      <w:r>
        <w:rPr>
          <w:rFonts w:ascii="Times New Roman" w:hAnsi="Times New Roman" w:cs="Times New Roman"/>
          <w:sz w:val="28"/>
          <w:szCs w:val="28"/>
        </w:rPr>
        <w:br w:type="textWrapping"/>
      </w:r>
      <w:r>
        <w:rPr>
          <w:rFonts w:ascii="Times New Roman" w:hAnsi="Times New Roman" w:cs="Times New Roman"/>
          <w:sz w:val="28"/>
          <w:szCs w:val="28"/>
        </w:rPr>
        <w:t xml:space="preserve">и другие заболевания возникают на фоне ослабленной  иммунной системы, именно они являются причиной смерти людей, живущих с ВИЧ, </w:t>
      </w:r>
      <w:r>
        <w:rPr>
          <w:rFonts w:ascii="Times New Roman" w:hAnsi="Times New Roman" w:cs="Times New Roman"/>
          <w:sz w:val="28"/>
          <w:szCs w:val="28"/>
        </w:rPr>
        <w:br w:type="textWrapping"/>
      </w:r>
      <w:r>
        <w:rPr>
          <w:rFonts w:ascii="Times New Roman" w:hAnsi="Times New Roman" w:cs="Times New Roman"/>
          <w:sz w:val="28"/>
          <w:szCs w:val="28"/>
        </w:rPr>
        <w:t xml:space="preserve">не получающих АРТ. </w:t>
      </w:r>
    </w:p>
    <w:p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Заражение ВИЧ-инфекцией возможно только при попадании биологической жидкости человеческого организма, содержащей вирус,  </w:t>
      </w:r>
      <w:r>
        <w:rPr>
          <w:rFonts w:ascii="Times New Roman" w:hAnsi="Times New Roman" w:cs="Times New Roman"/>
          <w:sz w:val="28"/>
          <w:szCs w:val="28"/>
        </w:rPr>
        <w:br w:type="textWrapping"/>
      </w:r>
      <w:r>
        <w:rPr>
          <w:rFonts w:ascii="Times New Roman" w:hAnsi="Times New Roman" w:cs="Times New Roman"/>
          <w:sz w:val="28"/>
          <w:szCs w:val="28"/>
        </w:rPr>
        <w:t xml:space="preserve">в кровоток или на слизистые оболочки другого человека. </w:t>
      </w:r>
    </w:p>
    <w:p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Поэтому выделяют 3 пути передачи ВИЧ-инфекции:</w:t>
      </w:r>
    </w:p>
    <w:p>
      <w:pPr>
        <w:pStyle w:val="7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через инфицированную кровь (чаще всего это случается при употреблении инъекционных наркотиков);</w:t>
      </w:r>
    </w:p>
    <w:p>
      <w:pPr>
        <w:pStyle w:val="7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 половом контакте;</w:t>
      </w:r>
    </w:p>
    <w:p>
      <w:pPr>
        <w:pStyle w:val="7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ВИЧ-инфицированная женщина в отсутствии лечения  (АРТ) может передать вирус ребёнку во время беременности, родов и кормления грудным молоком.</w:t>
      </w:r>
    </w:p>
    <w:p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Ситуации, связанные с риском инфицирования ВИЧ:</w:t>
      </w:r>
    </w:p>
    <w:p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>
      <w:pPr>
        <w:pStyle w:val="7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незащищенный (без использования презерватива) половой  контакт </w:t>
      </w:r>
      <w:r>
        <w:rPr>
          <w:rFonts w:ascii="Times New Roman" w:hAnsi="Times New Roman" w:cs="Times New Roman"/>
          <w:bCs/>
          <w:sz w:val="28"/>
          <w:szCs w:val="28"/>
        </w:rPr>
        <w:br w:type="textWrapping"/>
      </w:r>
      <w:r>
        <w:rPr>
          <w:rFonts w:ascii="Times New Roman" w:hAnsi="Times New Roman" w:cs="Times New Roman"/>
          <w:bCs/>
          <w:sz w:val="28"/>
          <w:szCs w:val="28"/>
        </w:rPr>
        <w:t>с ВИЧ-положительным партнером.</w:t>
      </w:r>
    </w:p>
    <w:p>
      <w:pPr>
        <w:pStyle w:val="7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попадание крови, содержащей ВИЧ, непосредственно в кровоток или на поврежденную кожу. Чаще всего это случается при внутривенном употреблении наркотиков (через зараженные иглы, шприцы, другие изделия  и материалы). Есть риск при пирсинге, нанесении татуировки, </w:t>
      </w:r>
      <w:r>
        <w:rPr>
          <w:rFonts w:ascii="Times New Roman" w:hAnsi="Times New Roman" w:cs="Times New Roman"/>
          <w:bCs/>
          <w:sz w:val="28"/>
          <w:szCs w:val="28"/>
        </w:rPr>
        <w:br w:type="textWrapping"/>
      </w:r>
      <w:r>
        <w:rPr>
          <w:rFonts w:ascii="Times New Roman" w:hAnsi="Times New Roman" w:cs="Times New Roman"/>
          <w:bCs/>
          <w:sz w:val="28"/>
          <w:szCs w:val="28"/>
        </w:rPr>
        <w:t xml:space="preserve">и других процедурах, при которых происходит нарушение целостности кожных покровов (через нестерильные иглы, инструменты). </w:t>
      </w:r>
    </w:p>
    <w:p>
      <w:pPr>
        <w:pStyle w:val="7"/>
        <w:spacing w:after="0" w:line="240" w:lineRule="auto"/>
        <w:ind w:left="501"/>
        <w:jc w:val="both"/>
        <w:rPr>
          <w:rFonts w:ascii="Times New Roman" w:hAnsi="Times New Roman" w:cs="Times New Roman"/>
          <w:bCs/>
          <w:sz w:val="28"/>
          <w:szCs w:val="28"/>
        </w:rPr>
      </w:pPr>
    </w:p>
    <w:p>
      <w:pPr>
        <w:spacing w:after="0" w:line="240" w:lineRule="auto"/>
        <w:ind w:left="360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lang w:eastAsia="ru-RU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290830</wp:posOffset>
            </wp:positionH>
            <wp:positionV relativeFrom="paragraph">
              <wp:posOffset>52070</wp:posOffset>
            </wp:positionV>
            <wp:extent cx="2581275" cy="2306320"/>
            <wp:effectExtent l="0" t="0" r="9525" b="0"/>
            <wp:wrapSquare wrapText="bothSides"/>
            <wp:docPr id="6" name="Объект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Объект 3"/>
                    <pic:cNvPicPr>
                      <a:picLocks noChangeAspect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81275" cy="23063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Times New Roman" w:hAnsi="Times New Roman" w:cs="Times New Roman"/>
          <w:bCs/>
          <w:sz w:val="28"/>
          <w:szCs w:val="28"/>
        </w:rPr>
        <w:t xml:space="preserve">Слюна, пот и моча не содержат достаточного для инфицирования количества вируса. Поэтому невозможно инфицироваться ВИЧ при бытовых контактах – в том числе, при использовании общей посуды, полотенец и других бытовых предметов. Нет никакой опасности </w:t>
      </w:r>
      <w:r>
        <w:rPr>
          <w:rFonts w:ascii="Times New Roman" w:hAnsi="Times New Roman" w:cs="Times New Roman"/>
          <w:bCs/>
          <w:sz w:val="28"/>
          <w:szCs w:val="28"/>
        </w:rPr>
        <w:br w:type="textWrapping"/>
      </w:r>
      <w:r>
        <w:rPr>
          <w:rFonts w:ascii="Times New Roman" w:hAnsi="Times New Roman" w:cs="Times New Roman"/>
          <w:bCs/>
          <w:sz w:val="28"/>
          <w:szCs w:val="28"/>
        </w:rPr>
        <w:t xml:space="preserve">в совместных водных процедурах (например, в душе или бассейне). ВИЧ не передается во время объятий, поцелуев, рукопожатий. Невозможно заразиться через укусы комаров и других кровососущих насекомых, </w:t>
      </w:r>
      <w:r>
        <w:rPr>
          <w:rFonts w:ascii="Times New Roman" w:hAnsi="Times New Roman" w:cs="Times New Roman"/>
          <w:bCs/>
          <w:sz w:val="28"/>
          <w:szCs w:val="28"/>
        </w:rPr>
        <w:br w:type="textWrapping"/>
      </w:r>
      <w:r>
        <w:rPr>
          <w:rFonts w:ascii="Times New Roman" w:hAnsi="Times New Roman" w:cs="Times New Roman"/>
          <w:bCs/>
          <w:sz w:val="28"/>
          <w:szCs w:val="28"/>
        </w:rPr>
        <w:t xml:space="preserve">а также от животных. </w:t>
      </w:r>
    </w:p>
    <w:p>
      <w:pPr>
        <w:spacing w:after="0" w:line="240" w:lineRule="auto"/>
        <w:ind w:left="360" w:firstLine="348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 Этих знаний вполне достаточно, чтобы понять, </w:t>
      </w:r>
      <w:r>
        <w:rPr>
          <w:rFonts w:ascii="Times New Roman" w:hAnsi="Times New Roman" w:cs="Times New Roman"/>
          <w:b/>
          <w:bCs/>
          <w:sz w:val="28"/>
          <w:szCs w:val="28"/>
        </w:rPr>
        <w:t>что ин</w:t>
      </w:r>
      <w:r>
        <w:rPr>
          <w:rFonts w:ascii="Times New Roman" w:hAnsi="Times New Roman" w:cs="Times New Roman"/>
          <w:b/>
          <w:sz w:val="28"/>
          <w:szCs w:val="28"/>
        </w:rPr>
        <w:t>дивидуальные меры профилактики ВИЧ-инфекции - это:</w:t>
      </w:r>
    </w:p>
    <w:p>
      <w:pPr>
        <w:pStyle w:val="7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предпочтение сексуальных контактов с постоянным взаимоверным половым партнером;</w:t>
      </w:r>
    </w:p>
    <w:p>
      <w:pPr>
        <w:pStyle w:val="7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использование презервативов – самый простой и эффективный способ</w:t>
      </w:r>
      <w:r>
        <w:rPr>
          <w:lang w:eastAsia="ru-RU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защиты от  ВИЧ-инфекции и от других инфекций, передающихся половым путем; </w:t>
      </w:r>
    </w:p>
    <w:p>
      <w:pPr>
        <w:pStyle w:val="7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использование персональных или стерильных инструментов для бритья, маникюра, нанесения татуировок, пирсинга и других инструментов, нарушающих целостность кожных покровов.</w:t>
      </w:r>
    </w:p>
    <w:p>
      <w:pPr>
        <w:pStyle w:val="7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полный отказ от наркотиков и их введения в виде инъекций.</w:t>
      </w:r>
    </w:p>
    <w:p>
      <w:pPr>
        <w:pStyle w:val="7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8"/>
          <w:szCs w:val="28"/>
          <w:lang w:val="zh-CN"/>
        </w:rPr>
      </w:pPr>
      <w:r>
        <w:rPr>
          <w:rFonts w:ascii="Times New Roman" w:hAnsi="Times New Roman" w:cs="Times New Roman"/>
          <w:sz w:val="28"/>
          <w:szCs w:val="28"/>
        </w:rPr>
        <w:t>Важно знать, что ч</w:t>
      </w:r>
      <w:r>
        <w:rPr>
          <w:rFonts w:ascii="Times New Roman" w:hAnsi="Times New Roman" w:cs="Times New Roman"/>
          <w:bCs/>
          <w:sz w:val="28"/>
          <w:szCs w:val="28"/>
        </w:rPr>
        <w:t>еловек способен передавать ВИЧ-инфекцию практически с того времени, как вирус попал в его организм. Острая стадия ВИЧ-инфекции (которая часто никак не проявляется), несмотря на ее короткую продолжительность, дает 10-50% всех новых случаев передачи ВИЧ, особенно у лиц, имеющих одновременно несколько половых партнеров или часто меняющих партнеров</w:t>
      </w:r>
      <w:r>
        <w:rPr>
          <w:rFonts w:ascii="Times New Roman" w:hAnsi="Times New Roman" w:cs="Times New Roman"/>
          <w:bCs/>
          <w:sz w:val="28"/>
          <w:szCs w:val="28"/>
          <w:vertAlign w:val="superscript"/>
        </w:rPr>
        <w:footnoteReference w:id="0"/>
      </w:r>
      <w:r>
        <w:rPr>
          <w:rFonts w:ascii="Times New Roman" w:hAnsi="Times New Roman" w:cs="Times New Roman"/>
          <w:bCs/>
          <w:sz w:val="28"/>
          <w:szCs w:val="28"/>
        </w:rPr>
        <w:t xml:space="preserve">. Поздняя диагностика ВИЧ-инфекции связана со значительными затратами: в течение первого года на АРТ  (без учета стоимости АРТ) затраты на лечение почти в 7 раз выше, чем для тех, у кого ВИЧ-инфекция диагностирована </w:t>
      </w:r>
      <w:r>
        <w:rPr>
          <w:rFonts w:ascii="Times New Roman" w:hAnsi="Times New Roman" w:cs="Times New Roman"/>
          <w:bCs/>
          <w:sz w:val="28"/>
          <w:szCs w:val="28"/>
          <w:lang w:val="zh-CN"/>
        </w:rPr>
        <w:t>своевременно</w:t>
      </w:r>
      <w:r>
        <w:rPr>
          <w:rFonts w:ascii="Times New Roman" w:hAnsi="Times New Roman" w:cs="Times New Roman"/>
          <w:bCs/>
          <w:sz w:val="28"/>
          <w:szCs w:val="28"/>
        </w:rPr>
        <w:t>; о</w:t>
      </w:r>
      <w:r>
        <w:rPr>
          <w:rFonts w:ascii="Times New Roman" w:hAnsi="Times New Roman" w:cs="Times New Roman"/>
          <w:bCs/>
          <w:sz w:val="28"/>
          <w:szCs w:val="28"/>
          <w:lang w:val="zh-CN"/>
        </w:rPr>
        <w:t>бщие затраты, не связанные с АРТ, понесенные за пять лет лечения, были на 56% и 246% выше при поздне</w:t>
      </w:r>
      <w:r>
        <w:rPr>
          <w:rFonts w:ascii="Times New Roman" w:hAnsi="Times New Roman" w:cs="Times New Roman"/>
          <w:bCs/>
          <w:sz w:val="28"/>
          <w:szCs w:val="28"/>
        </w:rPr>
        <w:t>й</w:t>
      </w:r>
      <w:r>
        <w:rPr>
          <w:rFonts w:ascii="Times New Roman" w:hAnsi="Times New Roman" w:cs="Times New Roman"/>
          <w:bCs/>
          <w:sz w:val="28"/>
          <w:szCs w:val="28"/>
          <w:lang w:val="zh-CN"/>
        </w:rPr>
        <w:t xml:space="preserve"> и очень поздне</w:t>
      </w:r>
      <w:r>
        <w:rPr>
          <w:rFonts w:ascii="Times New Roman" w:hAnsi="Times New Roman" w:cs="Times New Roman"/>
          <w:bCs/>
          <w:sz w:val="28"/>
          <w:szCs w:val="28"/>
        </w:rPr>
        <w:t>й</w:t>
      </w:r>
      <w:r>
        <w:rPr>
          <w:rFonts w:ascii="Times New Roman" w:hAnsi="Times New Roman" w:cs="Times New Roman"/>
          <w:bCs/>
          <w:sz w:val="28"/>
          <w:szCs w:val="28"/>
          <w:lang w:val="zh-CN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диагностике</w:t>
      </w:r>
      <w:r>
        <w:rPr>
          <w:rFonts w:ascii="Times New Roman" w:hAnsi="Times New Roman" w:cs="Times New Roman"/>
          <w:bCs/>
          <w:sz w:val="28"/>
          <w:szCs w:val="28"/>
          <w:lang w:val="zh-CN"/>
        </w:rPr>
        <w:t xml:space="preserve"> соответственно, по сравнению </w:t>
      </w:r>
      <w:r>
        <w:rPr>
          <w:rFonts w:ascii="Times New Roman" w:hAnsi="Times New Roman" w:cs="Times New Roman"/>
          <w:bCs/>
          <w:sz w:val="28"/>
          <w:szCs w:val="28"/>
        </w:rPr>
        <w:br w:type="textWrapping"/>
      </w:r>
      <w:r>
        <w:rPr>
          <w:rFonts w:ascii="Times New Roman" w:hAnsi="Times New Roman" w:cs="Times New Roman"/>
          <w:bCs/>
          <w:sz w:val="28"/>
          <w:szCs w:val="28"/>
          <w:lang w:val="zh-CN"/>
        </w:rPr>
        <w:t>со своевременн</w:t>
      </w:r>
      <w:r>
        <w:rPr>
          <w:rFonts w:ascii="Times New Roman" w:hAnsi="Times New Roman" w:cs="Times New Roman"/>
          <w:bCs/>
          <w:sz w:val="28"/>
          <w:szCs w:val="28"/>
        </w:rPr>
        <w:t>ой диагностикой; б</w:t>
      </w:r>
      <w:r>
        <w:rPr>
          <w:rFonts w:ascii="Times New Roman" w:hAnsi="Times New Roman" w:cs="Times New Roman"/>
          <w:bCs/>
          <w:sz w:val="28"/>
          <w:szCs w:val="28"/>
          <w:lang w:val="zh-CN"/>
        </w:rPr>
        <w:t xml:space="preserve">олее высокие затраты были связаны </w:t>
      </w:r>
      <w:r>
        <w:rPr>
          <w:rFonts w:ascii="Times New Roman" w:hAnsi="Times New Roman" w:cs="Times New Roman"/>
          <w:bCs/>
          <w:sz w:val="28"/>
          <w:szCs w:val="28"/>
        </w:rPr>
        <w:br w:type="textWrapping"/>
      </w:r>
      <w:r>
        <w:rPr>
          <w:rFonts w:ascii="Times New Roman" w:hAnsi="Times New Roman" w:cs="Times New Roman"/>
          <w:bCs/>
          <w:sz w:val="28"/>
          <w:szCs w:val="28"/>
          <w:lang w:val="zh-CN"/>
        </w:rPr>
        <w:t>с госпитализацией и сопутствующим лечением</w:t>
      </w:r>
      <w:r>
        <w:rPr>
          <w:rFonts w:ascii="Times New Roman" w:hAnsi="Times New Roman" w:cs="Times New Roman"/>
          <w:bCs/>
          <w:sz w:val="28"/>
          <w:szCs w:val="28"/>
        </w:rPr>
        <w:t>)</w:t>
      </w:r>
      <w:r>
        <w:rPr>
          <w:rFonts w:ascii="Times New Roman" w:hAnsi="Times New Roman" w:cs="Times New Roman"/>
          <w:bCs/>
          <w:sz w:val="28"/>
          <w:szCs w:val="28"/>
          <w:vertAlign w:val="superscript"/>
        </w:rPr>
        <w:footnoteReference w:id="1"/>
      </w:r>
      <w:r>
        <w:rPr>
          <w:rFonts w:ascii="Times New Roman" w:hAnsi="Times New Roman" w:cs="Times New Roman"/>
          <w:bCs/>
          <w:sz w:val="28"/>
          <w:szCs w:val="28"/>
          <w:lang w:val="zh-CN"/>
        </w:rPr>
        <w:t>.</w:t>
      </w:r>
    </w:p>
    <w:p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8"/>
          <w:szCs w:val="28"/>
          <w:lang w:val="zh-CN"/>
        </w:rPr>
      </w:pPr>
    </w:p>
    <w:p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drawing>
          <wp:anchor distT="0" distB="0" distL="114300" distR="114300" simplePos="0" relativeHeight="251672576" behindDoc="1" locked="0" layoutInCell="1" allowOverlap="1">
            <wp:simplePos x="0" y="0"/>
            <wp:positionH relativeFrom="column">
              <wp:posOffset>-3810</wp:posOffset>
            </wp:positionH>
            <wp:positionV relativeFrom="paragraph">
              <wp:posOffset>46990</wp:posOffset>
            </wp:positionV>
            <wp:extent cx="3514725" cy="1548765"/>
            <wp:effectExtent l="0" t="0" r="9525" b="0"/>
            <wp:wrapThrough wrapText="bothSides">
              <wp:wrapPolygon>
                <wp:start x="0" y="0"/>
                <wp:lineTo x="0" y="21255"/>
                <wp:lineTo x="21541" y="21255"/>
                <wp:lineTo x="21541" y="0"/>
                <wp:lineTo x="0" y="0"/>
              </wp:wrapPolygon>
            </wp:wrapThrough>
            <wp:docPr id="14" name="Рисунок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Рисунок 14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514725" cy="15487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rFonts w:ascii="Times New Roman" w:hAnsi="Times New Roman" w:cs="Times New Roman"/>
          <w:sz w:val="28"/>
          <w:szCs w:val="28"/>
        </w:rPr>
        <w:t xml:space="preserve">Единственный способ узнать ВИЧ-статус – </w:t>
      </w:r>
      <w:r>
        <w:rPr>
          <w:rFonts w:ascii="Times New Roman" w:hAnsi="Times New Roman" w:cs="Times New Roman"/>
          <w:b/>
          <w:sz w:val="28"/>
          <w:szCs w:val="28"/>
        </w:rPr>
        <w:t>своевременная диагностика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</w:p>
    <w:p>
      <w:pPr>
        <w:spacing w:after="0" w:line="240" w:lineRule="auto"/>
        <w:jc w:val="both"/>
        <w:rPr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 xml:space="preserve">Для предварительной самостоятельной диагностики можно приобрести  в аптеке наборы экспресс-анализа ВИЧ в  слюне. Бесплатно </w:t>
      </w:r>
      <w:r>
        <w:rPr>
          <w:rFonts w:ascii="Times New Roman" w:hAnsi="Times New Roman" w:cs="Times New Roman"/>
          <w:sz w:val="28"/>
          <w:szCs w:val="28"/>
        </w:rPr>
        <w:br w:type="textWrapping"/>
      </w:r>
      <w:r>
        <w:rPr>
          <w:rFonts w:ascii="Times New Roman" w:hAnsi="Times New Roman" w:cs="Times New Roman"/>
          <w:sz w:val="28"/>
          <w:szCs w:val="28"/>
        </w:rPr>
        <w:t xml:space="preserve">и анонимно пройти тестирование можно в государственных учреждениях здравоохранения. Для оперативной диагностики в системе здравоохранения применяются экспресс-тесты на наличие антител к ВИЧ по крови. </w:t>
      </w:r>
    </w:p>
    <w:p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</w:p>
    <w:p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</w:p>
    <w:p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Важной составляющей профилактики является работа по преодолению</w:t>
      </w:r>
    </w:p>
    <w:p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стигматизирующих установок в отношении людей, живущих с ВИЧ. </w:t>
      </w:r>
      <w:r>
        <w:rPr>
          <w:rFonts w:ascii="Times New Roman" w:hAnsi="Times New Roman" w:cs="Times New Roman"/>
          <w:bCs/>
          <w:sz w:val="28"/>
          <w:szCs w:val="28"/>
        </w:rPr>
        <w:br w:type="textWrapping"/>
      </w:r>
      <w:r>
        <w:rPr>
          <w:rFonts w:ascii="Times New Roman" w:hAnsi="Times New Roman" w:cs="Times New Roman"/>
          <w:bCs/>
          <w:sz w:val="28"/>
          <w:szCs w:val="28"/>
        </w:rPr>
        <w:t xml:space="preserve">На индивидуальном уровне стигма* оказывает негативное воздействие </w:t>
      </w:r>
      <w:r>
        <w:rPr>
          <w:rFonts w:ascii="Times New Roman" w:hAnsi="Times New Roman" w:cs="Times New Roman"/>
          <w:bCs/>
          <w:sz w:val="28"/>
          <w:szCs w:val="28"/>
        </w:rPr>
        <w:br w:type="textWrapping"/>
      </w:r>
      <w:r>
        <w:rPr>
          <w:rFonts w:ascii="Times New Roman" w:hAnsi="Times New Roman" w:cs="Times New Roman"/>
          <w:bCs/>
          <w:sz w:val="28"/>
          <w:szCs w:val="28"/>
        </w:rPr>
        <w:t xml:space="preserve">на самосознание, вызывая у людей, узнающих о своем положительном </w:t>
      </w:r>
      <w:r>
        <w:rPr>
          <w:rFonts w:ascii="Times New Roman" w:hAnsi="Times New Roman" w:cs="Times New Roman"/>
          <w:bCs/>
          <w:sz w:val="28"/>
          <w:szCs w:val="28"/>
        </w:rPr>
        <w:br w:type="textWrapping"/>
      </w:r>
      <w:r>
        <w:rPr>
          <w:rFonts w:ascii="Times New Roman" w:hAnsi="Times New Roman" w:cs="Times New Roman"/>
          <w:bCs/>
          <w:sz w:val="28"/>
          <w:szCs w:val="28"/>
        </w:rPr>
        <w:t xml:space="preserve">ВИЧ-статусе, стыд, ощущение собственной неполноценности, отчаяние, отказ от своевременного обращения за квалифицированной медицинской помощью. На уровне семьи и ближайшего окружения  часто люди, опасаясь стигматизации и дискриминации, предпочитают скрывать факт наличия ВИЧ-инфекции.  В общественном масштабе стигматизация и дискриминация приводят к потере контроля над распространением ВИЧ-инфекции из-за того, что люди стремятся любой ценой отдалить обращение к врачу для окончательной диагностики, установления диагноза и получения лечения, избежать огласки своей причастности к проблеме, либо принадлежности </w:t>
      </w:r>
      <w:r>
        <w:rPr>
          <w:rFonts w:ascii="Times New Roman" w:hAnsi="Times New Roman" w:cs="Times New Roman"/>
          <w:bCs/>
          <w:sz w:val="28"/>
          <w:szCs w:val="28"/>
        </w:rPr>
        <w:br w:type="textWrapping"/>
      </w:r>
      <w:r>
        <w:rPr>
          <w:rFonts w:ascii="Times New Roman" w:hAnsi="Times New Roman" w:cs="Times New Roman"/>
          <w:bCs/>
          <w:sz w:val="28"/>
          <w:szCs w:val="28"/>
        </w:rPr>
        <w:t>к стигматизируемой группе.</w:t>
      </w:r>
    </w:p>
    <w:p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Одна из причин стигмы  –  страх и ложные представления, основанные на стереотипах и недостоверной информации. Укрепившиеся стереотипы </w:t>
      </w:r>
      <w:r>
        <w:rPr>
          <w:rFonts w:ascii="Times New Roman" w:hAnsi="Times New Roman" w:cs="Times New Roman"/>
          <w:bCs/>
          <w:sz w:val="28"/>
          <w:szCs w:val="28"/>
        </w:rPr>
        <w:br w:type="textWrapping"/>
      </w:r>
      <w:r>
        <w:rPr>
          <w:rFonts w:ascii="Times New Roman" w:hAnsi="Times New Roman" w:cs="Times New Roman"/>
          <w:bCs/>
          <w:sz w:val="28"/>
          <w:szCs w:val="28"/>
        </w:rPr>
        <w:t xml:space="preserve">о ВИЧ-инфекции усиливают внешнюю стигму и способствуют развитию стигмы внутренней.  Имеются объективные доказательства того, что связанные с ВИЧ-инфекцией стигматизация и страхи препятствуют эффективной профилактике, а достоверное информирование населения </w:t>
      </w:r>
      <w:r>
        <w:rPr>
          <w:rFonts w:ascii="Times New Roman" w:hAnsi="Times New Roman" w:cs="Times New Roman"/>
          <w:bCs/>
          <w:sz w:val="28"/>
          <w:szCs w:val="28"/>
        </w:rPr>
        <w:br w:type="textWrapping"/>
      </w:r>
      <w:r>
        <w:rPr>
          <w:rFonts w:ascii="Times New Roman" w:hAnsi="Times New Roman" w:cs="Times New Roman"/>
          <w:bCs/>
          <w:sz w:val="28"/>
          <w:szCs w:val="28"/>
        </w:rPr>
        <w:t xml:space="preserve">и укрепление доверия к надежной медицинской помощи способствует нивелированию ложных представлений и изменению установок в отношении проблем, связанных с ВИЧ-инфекцией.  </w:t>
      </w:r>
    </w:p>
    <w:p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8"/>
          <w:szCs w:val="28"/>
          <w:lang w:val="en-US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 Достоверные знания о ВИЧ-инфекции и адекватная оценка личных рисков для каждого человека должна стать элементом  обычной заботы </w:t>
      </w:r>
      <w:r>
        <w:rPr>
          <w:rFonts w:ascii="Times New Roman" w:hAnsi="Times New Roman" w:cs="Times New Roman"/>
          <w:bCs/>
          <w:sz w:val="28"/>
          <w:szCs w:val="28"/>
        </w:rPr>
        <w:br w:type="textWrapping"/>
      </w:r>
      <w:r>
        <w:rPr>
          <w:rFonts w:ascii="Times New Roman" w:hAnsi="Times New Roman" w:cs="Times New Roman"/>
          <w:bCs/>
          <w:sz w:val="28"/>
          <w:szCs w:val="28"/>
        </w:rPr>
        <w:t xml:space="preserve">о собственном здоровье.  Это будет способствовать снижению стигмы </w:t>
      </w:r>
      <w:r>
        <w:rPr>
          <w:rFonts w:ascii="Times New Roman" w:hAnsi="Times New Roman" w:cs="Times New Roman"/>
          <w:bCs/>
          <w:sz w:val="28"/>
          <w:szCs w:val="28"/>
        </w:rPr>
        <w:br w:type="textWrapping"/>
      </w:r>
      <w:r>
        <w:rPr>
          <w:rFonts w:ascii="Times New Roman" w:hAnsi="Times New Roman" w:cs="Times New Roman"/>
          <w:bCs/>
          <w:sz w:val="28"/>
          <w:szCs w:val="28"/>
        </w:rPr>
        <w:t>в отношении людей, живущих с ВИЧ и повышению общей эффективности профилактической работы.</w:t>
      </w:r>
    </w:p>
    <w:p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8"/>
          <w:szCs w:val="28"/>
          <w:lang w:val="en-US"/>
        </w:rPr>
      </w:pPr>
    </w:p>
    <w:p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  <w:lang w:eastAsia="ru-RU"/>
        </w:rPr>
        <w:drawing>
          <wp:anchor distT="0" distB="0" distL="114300" distR="114300" simplePos="0" relativeHeight="251668480" behindDoc="1" locked="0" layoutInCell="1" allowOverlap="1">
            <wp:simplePos x="0" y="0"/>
            <wp:positionH relativeFrom="column">
              <wp:posOffset>91440</wp:posOffset>
            </wp:positionH>
            <wp:positionV relativeFrom="paragraph">
              <wp:posOffset>27940</wp:posOffset>
            </wp:positionV>
            <wp:extent cx="1095375" cy="821055"/>
            <wp:effectExtent l="0" t="0" r="9525" b="0"/>
            <wp:wrapTight wrapText="bothSides">
              <wp:wrapPolygon>
                <wp:start x="0" y="0"/>
                <wp:lineTo x="0" y="21049"/>
                <wp:lineTo x="21412" y="21049"/>
                <wp:lineTo x="21412" y="0"/>
                <wp:lineTo x="0" y="0"/>
              </wp:wrapPolygon>
            </wp:wrapTight>
            <wp:docPr id="11" name="Рисунок 11" descr="E:\Гурман_Д\Desktop\картинки\12717552_929082217187300_8364534756329611202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Рисунок 11" descr="E:\Гурман_Д\Desktop\картинки\12717552_929082217187300_8364534756329611202_n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095375" cy="8210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="Times New Roman" w:hAnsi="Times New Roman" w:cs="Times New Roman"/>
          <w:bCs/>
          <w:sz w:val="28"/>
          <w:szCs w:val="28"/>
        </w:rPr>
        <w:t xml:space="preserve">Консультацию по любым вопросам, связанным </w:t>
      </w:r>
      <w:r>
        <w:rPr>
          <w:rFonts w:ascii="Times New Roman" w:hAnsi="Times New Roman" w:cs="Times New Roman"/>
          <w:bCs/>
          <w:sz w:val="28"/>
          <w:szCs w:val="28"/>
        </w:rPr>
        <w:br w:type="textWrapping"/>
      </w:r>
      <w:r>
        <w:rPr>
          <w:rFonts w:ascii="Times New Roman" w:hAnsi="Times New Roman" w:cs="Times New Roman"/>
          <w:bCs/>
          <w:sz w:val="28"/>
          <w:szCs w:val="28"/>
        </w:rPr>
        <w:t xml:space="preserve">с профилактикой ВИЧ-инфекции, можно получить </w:t>
      </w:r>
      <w:r>
        <w:rPr>
          <w:rFonts w:ascii="Times New Roman" w:hAnsi="Times New Roman" w:cs="Times New Roman"/>
          <w:bCs/>
          <w:sz w:val="28"/>
          <w:szCs w:val="28"/>
        </w:rPr>
        <w:br w:type="textWrapping"/>
      </w:r>
      <w:r>
        <w:rPr>
          <w:rFonts w:ascii="Times New Roman" w:hAnsi="Times New Roman" w:cs="Times New Roman"/>
          <w:bCs/>
          <w:sz w:val="28"/>
          <w:szCs w:val="28"/>
        </w:rPr>
        <w:t xml:space="preserve">по телефону  </w:t>
      </w:r>
      <w:r>
        <w:rPr>
          <w:rFonts w:ascii="Times New Roman" w:hAnsi="Times New Roman" w:cs="Times New Roman"/>
          <w:b/>
          <w:bCs/>
          <w:sz w:val="28"/>
          <w:szCs w:val="28"/>
        </w:rPr>
        <w:t>«горячей линии»</w:t>
      </w:r>
      <w:r>
        <w:rPr>
          <w:rFonts w:ascii="Times New Roman" w:hAnsi="Times New Roman" w:cs="Times New Roman"/>
          <w:bCs/>
          <w:sz w:val="28"/>
          <w:szCs w:val="28"/>
        </w:rPr>
        <w:t xml:space="preserve">  для населения  </w:t>
      </w:r>
      <w:r>
        <w:rPr>
          <w:rFonts w:ascii="Times New Roman" w:hAnsi="Times New Roman" w:cs="Times New Roman"/>
          <w:bCs/>
          <w:sz w:val="28"/>
          <w:szCs w:val="28"/>
        </w:rPr>
        <w:br w:type="textWrapping"/>
      </w:r>
      <w:r>
        <w:rPr>
          <w:rFonts w:ascii="Times New Roman" w:hAnsi="Times New Roman" w:cs="Times New Roman"/>
          <w:b/>
          <w:bCs/>
          <w:sz w:val="28"/>
          <w:szCs w:val="28"/>
        </w:rPr>
        <w:t>8 (017) 200 28 83</w:t>
      </w:r>
      <w:r>
        <w:rPr>
          <w:rFonts w:ascii="Times New Roman" w:hAnsi="Times New Roman" w:cs="Times New Roman"/>
          <w:bCs/>
          <w:sz w:val="28"/>
          <w:szCs w:val="28"/>
        </w:rPr>
        <w:t xml:space="preserve"> в будние дни с 9.00 до 16.00.</w:t>
      </w:r>
    </w:p>
    <w:p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     </w:t>
      </w:r>
    </w:p>
    <w:p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>
      <w:pPr>
        <w:spacing w:after="0" w:line="240" w:lineRule="exact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8"/>
          <w:szCs w:val="28"/>
        </w:rPr>
        <w:t xml:space="preserve">* </w:t>
      </w:r>
      <w:r>
        <w:rPr>
          <w:rFonts w:ascii="Times New Roman" w:hAnsi="Times New Roman" w:cs="Times New Roman"/>
          <w:b/>
          <w:sz w:val="20"/>
          <w:szCs w:val="20"/>
        </w:rPr>
        <w:t>Стигма</w:t>
      </w:r>
      <w:r>
        <w:rPr>
          <w:rFonts w:ascii="Times New Roman" w:hAnsi="Times New Roman" w:cs="Times New Roman"/>
          <w:sz w:val="20"/>
          <w:szCs w:val="20"/>
        </w:rPr>
        <w:t xml:space="preserve"> − («ярлык», «клеймо») – предвзятое отношение к отдельному человеку или группе людей, связанное с наличием у него/у них особых свойств или признаков</w:t>
      </w:r>
    </w:p>
    <w:p>
      <w:pPr>
        <w:spacing w:after="0" w:line="240" w:lineRule="exact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>Стигматизация</w:t>
      </w:r>
      <w:r>
        <w:rPr>
          <w:rFonts w:ascii="Times New Roman" w:hAnsi="Times New Roman" w:cs="Times New Roman"/>
          <w:sz w:val="20"/>
          <w:szCs w:val="20"/>
        </w:rPr>
        <w:t xml:space="preserve"> − процесс навязывания человеку или группе людей негативной социальной роли. </w:t>
      </w:r>
    </w:p>
    <w:p>
      <w:pPr>
        <w:spacing w:after="0" w:line="240" w:lineRule="exact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 xml:space="preserve">Дискриминация </w:t>
      </w:r>
      <w:r>
        <w:rPr>
          <w:rFonts w:ascii="Times New Roman" w:hAnsi="Times New Roman" w:cs="Times New Roman"/>
          <w:sz w:val="20"/>
          <w:szCs w:val="20"/>
        </w:rPr>
        <w:t xml:space="preserve">– это стигма, которая стала действием, в котором права и возможности людей ограничиваются, так как они принадлежат к стигматизированной группе. </w:t>
      </w:r>
    </w:p>
    <w:p>
      <w:pPr>
        <w:spacing w:after="0" w:line="240" w:lineRule="exact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>Ключевые группы населения</w:t>
      </w:r>
      <w:r>
        <w:rPr>
          <w:rFonts w:ascii="Times New Roman" w:hAnsi="Times New Roman" w:cs="Times New Roman"/>
          <w:sz w:val="20"/>
          <w:szCs w:val="20"/>
        </w:rPr>
        <w:t xml:space="preserve"> − группы населения, подверженные повышенному риску инфицирования ВИЧ в силу особенностей своего поведения. К ключевым группам населения отнесены лица, употребляющие инъекционные наркотики; мужчины, практикующие секс с мужчинами; трансгендерные люди; работники коммерческого секса, люди, находящиеся в местах лишения свободы.</w:t>
      </w:r>
    </w:p>
    <w:sectPr>
      <w:pgSz w:w="11906" w:h="16838"/>
      <w:pgMar w:top="1134" w:right="850" w:bottom="1134" w:left="1701" w:header="708" w:footer="708" w:gutter="0"/>
      <w:cols w:space="708" w:num="1"/>
      <w:docGrid w:linePitch="360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CC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00"/>
    <w:family w:val="auto"/>
    <w:pitch w:val="default"/>
    <w:sig w:usb0="E4002EFF" w:usb1="C000247B" w:usb2="00000009" w:usb3="00000000" w:csb0="200001FF" w:csb1="00000000"/>
  </w:font>
  <w:font w:name="Tahoma">
    <w:panose1 w:val="020B0604030504040204"/>
    <w:charset w:val="CC"/>
    <w:family w:val="swiss"/>
    <w:pitch w:val="default"/>
    <w:sig w:usb0="E1002EFF" w:usb1="C000605B" w:usb2="00000029" w:usb3="00000000" w:csb0="200101FF" w:csb1="20280000"/>
  </w:font>
  <w:font w:name="Courier New">
    <w:panose1 w:val="02070309020205020404"/>
    <w:charset w:val="CC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id="0">
    <w:p>
      <w:pPr>
        <w:pStyle w:val="3"/>
        <w:rPr>
          <w:rFonts w:ascii="Times New Roman" w:hAnsi="Times New Roman" w:cs="Times New Roman"/>
          <w:sz w:val="18"/>
          <w:szCs w:val="18"/>
          <w:lang w:val="zh-CN"/>
        </w:rPr>
      </w:pPr>
      <w:r>
        <w:rPr>
          <w:rStyle w:val="5"/>
          <w:rFonts w:ascii="Times New Roman" w:hAnsi="Times New Roman" w:cs="Times New Roman"/>
          <w:sz w:val="18"/>
          <w:szCs w:val="18"/>
        </w:rPr>
        <w:footnoteRef/>
      </w:r>
      <w:r>
        <w:rPr>
          <w:rFonts w:ascii="Times New Roman" w:hAnsi="Times New Roman" w:cs="Times New Roman"/>
          <w:sz w:val="18"/>
          <w:szCs w:val="18"/>
        </w:rPr>
        <w:t xml:space="preserve"> https://stacks.cdc.gov/view/cdc/23447</w:t>
      </w:r>
    </w:p>
  </w:footnote>
  <w:footnote w:id="1">
    <w:p>
      <w:pPr>
        <w:pStyle w:val="3"/>
        <w:jc w:val="both"/>
        <w:rPr>
          <w:rFonts w:ascii="Times New Roman" w:hAnsi="Times New Roman" w:cs="Times New Roman"/>
          <w:sz w:val="18"/>
          <w:szCs w:val="18"/>
          <w:lang w:val="zh-CN"/>
        </w:rPr>
      </w:pPr>
      <w:r>
        <w:rPr>
          <w:rStyle w:val="5"/>
        </w:rPr>
        <w:footnoteRef/>
      </w:r>
      <w:r>
        <w:rPr>
          <w:lang w:val="en-US"/>
        </w:rPr>
        <w:t xml:space="preserve"> </w:t>
      </w:r>
      <w:r>
        <w:rPr>
          <w:rFonts w:ascii="Times New Roman" w:hAnsi="Times New Roman" w:cs="Times New Roman"/>
          <w:sz w:val="18"/>
          <w:szCs w:val="18"/>
          <w:lang w:val="en-US"/>
        </w:rPr>
        <w:t xml:space="preserve">Based on Popping S, VersteeghL, Nichols BE, van de VijverDAMC, van SighemA, et al. (2023) Characteristics and short-and long-term direct medical costs among adults with timely and delayed presentation for HIV care in the Netherlands. </w:t>
      </w:r>
      <w:r>
        <w:rPr>
          <w:rFonts w:ascii="Times New Roman" w:hAnsi="Times New Roman" w:cs="Times New Roman"/>
          <w:sz w:val="18"/>
          <w:szCs w:val="18"/>
        </w:rPr>
        <w:t xml:space="preserve">PLOS ONE 18(2): e0280877. </w:t>
      </w:r>
      <w:r>
        <w:rPr>
          <w:rFonts w:ascii="Times New Roman" w:hAnsi="Times New Roman" w:cs="Times New Roman"/>
          <w:color w:val="0462C1"/>
          <w:sz w:val="18"/>
          <w:szCs w:val="18"/>
        </w:rPr>
        <w:t>https://doi.org/10.1371/journal.pone.0280877https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217E43"/>
    <w:multiLevelType w:val="multilevel"/>
    <w:tmpl w:val="13217E43"/>
    <w:lvl w:ilvl="0" w:tentative="0">
      <w:start w:val="1"/>
      <w:numFmt w:val="bullet"/>
      <w:lvlText w:val=""/>
      <w:lvlJc w:val="left"/>
      <w:pPr>
        <w:ind w:left="720" w:hanging="360"/>
      </w:pPr>
      <w:rPr>
        <w:rFonts w:hint="default" w:ascii="Wingdings" w:hAnsi="Wingdings"/>
      </w:rPr>
    </w:lvl>
    <w:lvl w:ilvl="1" w:tentative="0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entative="0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entative="0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entative="0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entative="0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entative="0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entative="0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entative="0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">
    <w:nsid w:val="20DF3403"/>
    <w:multiLevelType w:val="multilevel"/>
    <w:tmpl w:val="20DF3403"/>
    <w:lvl w:ilvl="0" w:tentative="0">
      <w:start w:val="1"/>
      <w:numFmt w:val="bullet"/>
      <w:lvlText w:val=""/>
      <w:lvlJc w:val="left"/>
      <w:pPr>
        <w:ind w:left="501" w:hanging="360"/>
      </w:pPr>
      <w:rPr>
        <w:rFonts w:hint="default" w:ascii="Wingdings" w:hAnsi="Wingdings"/>
      </w:rPr>
    </w:lvl>
    <w:lvl w:ilvl="1" w:tentative="0">
      <w:start w:val="1"/>
      <w:numFmt w:val="bullet"/>
      <w:lvlText w:val="o"/>
      <w:lvlJc w:val="left"/>
      <w:pPr>
        <w:ind w:left="1221" w:hanging="360"/>
      </w:pPr>
      <w:rPr>
        <w:rFonts w:hint="default" w:ascii="Courier New" w:hAnsi="Courier New" w:cs="Courier New"/>
      </w:rPr>
    </w:lvl>
    <w:lvl w:ilvl="2" w:tentative="0">
      <w:start w:val="1"/>
      <w:numFmt w:val="bullet"/>
      <w:lvlText w:val=""/>
      <w:lvlJc w:val="left"/>
      <w:pPr>
        <w:ind w:left="1941" w:hanging="360"/>
      </w:pPr>
      <w:rPr>
        <w:rFonts w:hint="default" w:ascii="Wingdings" w:hAnsi="Wingdings"/>
      </w:rPr>
    </w:lvl>
    <w:lvl w:ilvl="3" w:tentative="0">
      <w:start w:val="1"/>
      <w:numFmt w:val="bullet"/>
      <w:lvlText w:val=""/>
      <w:lvlJc w:val="left"/>
      <w:pPr>
        <w:ind w:left="2661" w:hanging="360"/>
      </w:pPr>
      <w:rPr>
        <w:rFonts w:hint="default" w:ascii="Symbol" w:hAnsi="Symbol"/>
      </w:rPr>
    </w:lvl>
    <w:lvl w:ilvl="4" w:tentative="0">
      <w:start w:val="1"/>
      <w:numFmt w:val="bullet"/>
      <w:lvlText w:val="o"/>
      <w:lvlJc w:val="left"/>
      <w:pPr>
        <w:ind w:left="3381" w:hanging="360"/>
      </w:pPr>
      <w:rPr>
        <w:rFonts w:hint="default" w:ascii="Courier New" w:hAnsi="Courier New" w:cs="Courier New"/>
      </w:rPr>
    </w:lvl>
    <w:lvl w:ilvl="5" w:tentative="0">
      <w:start w:val="1"/>
      <w:numFmt w:val="bullet"/>
      <w:lvlText w:val=""/>
      <w:lvlJc w:val="left"/>
      <w:pPr>
        <w:ind w:left="4101" w:hanging="360"/>
      </w:pPr>
      <w:rPr>
        <w:rFonts w:hint="default" w:ascii="Wingdings" w:hAnsi="Wingdings"/>
      </w:rPr>
    </w:lvl>
    <w:lvl w:ilvl="6" w:tentative="0">
      <w:start w:val="1"/>
      <w:numFmt w:val="bullet"/>
      <w:lvlText w:val=""/>
      <w:lvlJc w:val="left"/>
      <w:pPr>
        <w:ind w:left="4821" w:hanging="360"/>
      </w:pPr>
      <w:rPr>
        <w:rFonts w:hint="default" w:ascii="Symbol" w:hAnsi="Symbol"/>
      </w:rPr>
    </w:lvl>
    <w:lvl w:ilvl="7" w:tentative="0">
      <w:start w:val="1"/>
      <w:numFmt w:val="bullet"/>
      <w:lvlText w:val="o"/>
      <w:lvlJc w:val="left"/>
      <w:pPr>
        <w:ind w:left="5541" w:hanging="360"/>
      </w:pPr>
      <w:rPr>
        <w:rFonts w:hint="default" w:ascii="Courier New" w:hAnsi="Courier New" w:cs="Courier New"/>
      </w:rPr>
    </w:lvl>
    <w:lvl w:ilvl="8" w:tentative="0">
      <w:start w:val="1"/>
      <w:numFmt w:val="bullet"/>
      <w:lvlText w:val=""/>
      <w:lvlJc w:val="left"/>
      <w:pPr>
        <w:ind w:left="6261" w:hanging="360"/>
      </w:pPr>
      <w:rPr>
        <w:rFonts w:hint="default" w:ascii="Wingdings" w:hAnsi="Wingdings"/>
      </w:rPr>
    </w:lvl>
  </w:abstractNum>
  <w:abstractNum w:abstractNumId="2">
    <w:nsid w:val="2DA424CC"/>
    <w:multiLevelType w:val="multilevel"/>
    <w:tmpl w:val="2DA424CC"/>
    <w:lvl w:ilvl="0" w:tentative="0">
      <w:start w:val="1"/>
      <w:numFmt w:val="bullet"/>
      <w:lvlText w:val=""/>
      <w:lvlJc w:val="left"/>
      <w:pPr>
        <w:ind w:left="720" w:hanging="360"/>
      </w:pPr>
      <w:rPr>
        <w:rFonts w:hint="default" w:ascii="Wingdings" w:hAnsi="Wingdings"/>
      </w:rPr>
    </w:lvl>
    <w:lvl w:ilvl="1" w:tentative="0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entative="0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entative="0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entative="0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entative="0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entative="0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entative="0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entative="0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documentProtection w:enforcement="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275A6"/>
    <w:rsid w:val="0000506C"/>
    <w:rsid w:val="000159BB"/>
    <w:rsid w:val="00024083"/>
    <w:rsid w:val="00040C36"/>
    <w:rsid w:val="00040CE0"/>
    <w:rsid w:val="00040D22"/>
    <w:rsid w:val="0005100E"/>
    <w:rsid w:val="00064648"/>
    <w:rsid w:val="000657D4"/>
    <w:rsid w:val="0007395E"/>
    <w:rsid w:val="000758EF"/>
    <w:rsid w:val="00082AA2"/>
    <w:rsid w:val="000830E3"/>
    <w:rsid w:val="00096029"/>
    <w:rsid w:val="0009710A"/>
    <w:rsid w:val="000976F5"/>
    <w:rsid w:val="000A2284"/>
    <w:rsid w:val="000A700F"/>
    <w:rsid w:val="000B455F"/>
    <w:rsid w:val="000C1559"/>
    <w:rsid w:val="000C49A9"/>
    <w:rsid w:val="000D0918"/>
    <w:rsid w:val="000D760A"/>
    <w:rsid w:val="000E2D08"/>
    <w:rsid w:val="001020E9"/>
    <w:rsid w:val="00125A2D"/>
    <w:rsid w:val="00130C78"/>
    <w:rsid w:val="00135CE7"/>
    <w:rsid w:val="001400F5"/>
    <w:rsid w:val="00143C7B"/>
    <w:rsid w:val="001B6AA3"/>
    <w:rsid w:val="001C62EA"/>
    <w:rsid w:val="001C6793"/>
    <w:rsid w:val="001D1180"/>
    <w:rsid w:val="001E58EC"/>
    <w:rsid w:val="001F7984"/>
    <w:rsid w:val="002200DB"/>
    <w:rsid w:val="00222C8B"/>
    <w:rsid w:val="00224B59"/>
    <w:rsid w:val="00225F6C"/>
    <w:rsid w:val="00231924"/>
    <w:rsid w:val="00250CED"/>
    <w:rsid w:val="0025353F"/>
    <w:rsid w:val="00256D0A"/>
    <w:rsid w:val="00257172"/>
    <w:rsid w:val="00260D92"/>
    <w:rsid w:val="002661DB"/>
    <w:rsid w:val="00294629"/>
    <w:rsid w:val="00295365"/>
    <w:rsid w:val="002A5C0E"/>
    <w:rsid w:val="002A6476"/>
    <w:rsid w:val="002A6A84"/>
    <w:rsid w:val="002C3021"/>
    <w:rsid w:val="002D6EE8"/>
    <w:rsid w:val="002E25ED"/>
    <w:rsid w:val="002F2F1C"/>
    <w:rsid w:val="00300F10"/>
    <w:rsid w:val="00304E5A"/>
    <w:rsid w:val="00316C20"/>
    <w:rsid w:val="003237FA"/>
    <w:rsid w:val="003277FF"/>
    <w:rsid w:val="00334766"/>
    <w:rsid w:val="00341F47"/>
    <w:rsid w:val="00343D57"/>
    <w:rsid w:val="00352351"/>
    <w:rsid w:val="003567E2"/>
    <w:rsid w:val="00373A71"/>
    <w:rsid w:val="003943D8"/>
    <w:rsid w:val="003A0C11"/>
    <w:rsid w:val="003A14A1"/>
    <w:rsid w:val="003B0C5D"/>
    <w:rsid w:val="003B5922"/>
    <w:rsid w:val="003C1793"/>
    <w:rsid w:val="003E5314"/>
    <w:rsid w:val="004040AA"/>
    <w:rsid w:val="0040598C"/>
    <w:rsid w:val="00424E54"/>
    <w:rsid w:val="00431553"/>
    <w:rsid w:val="004464CC"/>
    <w:rsid w:val="00452892"/>
    <w:rsid w:val="00454454"/>
    <w:rsid w:val="004547B3"/>
    <w:rsid w:val="0046447C"/>
    <w:rsid w:val="0046622E"/>
    <w:rsid w:val="00480198"/>
    <w:rsid w:val="00481A92"/>
    <w:rsid w:val="00483CB8"/>
    <w:rsid w:val="004930DE"/>
    <w:rsid w:val="0049625A"/>
    <w:rsid w:val="004A28B4"/>
    <w:rsid w:val="004A559D"/>
    <w:rsid w:val="004B2555"/>
    <w:rsid w:val="004C5554"/>
    <w:rsid w:val="004C65C4"/>
    <w:rsid w:val="004E7595"/>
    <w:rsid w:val="004F353A"/>
    <w:rsid w:val="005025FA"/>
    <w:rsid w:val="0051456D"/>
    <w:rsid w:val="00521A01"/>
    <w:rsid w:val="00533616"/>
    <w:rsid w:val="00537137"/>
    <w:rsid w:val="00537A2C"/>
    <w:rsid w:val="00550F7C"/>
    <w:rsid w:val="00553676"/>
    <w:rsid w:val="00556C9E"/>
    <w:rsid w:val="005642D8"/>
    <w:rsid w:val="005712B0"/>
    <w:rsid w:val="00576E15"/>
    <w:rsid w:val="005B56C6"/>
    <w:rsid w:val="005B67FC"/>
    <w:rsid w:val="005B71F2"/>
    <w:rsid w:val="005D1584"/>
    <w:rsid w:val="005E3C4B"/>
    <w:rsid w:val="0061271B"/>
    <w:rsid w:val="00621919"/>
    <w:rsid w:val="006445ED"/>
    <w:rsid w:val="00654878"/>
    <w:rsid w:val="00663A52"/>
    <w:rsid w:val="0067537B"/>
    <w:rsid w:val="006806AE"/>
    <w:rsid w:val="0069750A"/>
    <w:rsid w:val="006A2354"/>
    <w:rsid w:val="006A515E"/>
    <w:rsid w:val="006A7057"/>
    <w:rsid w:val="006C6D1A"/>
    <w:rsid w:val="006D13AB"/>
    <w:rsid w:val="006D318F"/>
    <w:rsid w:val="006D4B15"/>
    <w:rsid w:val="006E01EF"/>
    <w:rsid w:val="006E4945"/>
    <w:rsid w:val="006E4F09"/>
    <w:rsid w:val="006F2AE8"/>
    <w:rsid w:val="0072696D"/>
    <w:rsid w:val="00730DED"/>
    <w:rsid w:val="00735701"/>
    <w:rsid w:val="007438D0"/>
    <w:rsid w:val="00793A7E"/>
    <w:rsid w:val="007A13B3"/>
    <w:rsid w:val="007A5CBB"/>
    <w:rsid w:val="007C0ADE"/>
    <w:rsid w:val="007C3299"/>
    <w:rsid w:val="007C34A2"/>
    <w:rsid w:val="007C3C94"/>
    <w:rsid w:val="007D26C7"/>
    <w:rsid w:val="007D3AD9"/>
    <w:rsid w:val="007E1402"/>
    <w:rsid w:val="007E7412"/>
    <w:rsid w:val="007F20E9"/>
    <w:rsid w:val="00800B89"/>
    <w:rsid w:val="00810B91"/>
    <w:rsid w:val="008303C8"/>
    <w:rsid w:val="008333DA"/>
    <w:rsid w:val="008412F2"/>
    <w:rsid w:val="00856159"/>
    <w:rsid w:val="00873735"/>
    <w:rsid w:val="008838E0"/>
    <w:rsid w:val="00895324"/>
    <w:rsid w:val="008B1521"/>
    <w:rsid w:val="008B1805"/>
    <w:rsid w:val="008B5ADE"/>
    <w:rsid w:val="008C2013"/>
    <w:rsid w:val="008C43AA"/>
    <w:rsid w:val="008C5FE0"/>
    <w:rsid w:val="008D5D8D"/>
    <w:rsid w:val="008E7B83"/>
    <w:rsid w:val="008F5361"/>
    <w:rsid w:val="0090049C"/>
    <w:rsid w:val="00905336"/>
    <w:rsid w:val="00920023"/>
    <w:rsid w:val="00926B11"/>
    <w:rsid w:val="00931555"/>
    <w:rsid w:val="00937673"/>
    <w:rsid w:val="00952EB8"/>
    <w:rsid w:val="0096047F"/>
    <w:rsid w:val="00972C1D"/>
    <w:rsid w:val="00973A27"/>
    <w:rsid w:val="00982A27"/>
    <w:rsid w:val="00984378"/>
    <w:rsid w:val="00995A4F"/>
    <w:rsid w:val="009A4DFC"/>
    <w:rsid w:val="009A5741"/>
    <w:rsid w:val="009B4940"/>
    <w:rsid w:val="009D0765"/>
    <w:rsid w:val="009D3E42"/>
    <w:rsid w:val="009F0BDD"/>
    <w:rsid w:val="009F361C"/>
    <w:rsid w:val="009F3DB8"/>
    <w:rsid w:val="00A115A2"/>
    <w:rsid w:val="00A15EF6"/>
    <w:rsid w:val="00A23248"/>
    <w:rsid w:val="00A24EC9"/>
    <w:rsid w:val="00A275A6"/>
    <w:rsid w:val="00A3002A"/>
    <w:rsid w:val="00A46D0D"/>
    <w:rsid w:val="00A504A6"/>
    <w:rsid w:val="00A70989"/>
    <w:rsid w:val="00A713F7"/>
    <w:rsid w:val="00A722BF"/>
    <w:rsid w:val="00A7295D"/>
    <w:rsid w:val="00A81FFF"/>
    <w:rsid w:val="00A86854"/>
    <w:rsid w:val="00A90A94"/>
    <w:rsid w:val="00A91D22"/>
    <w:rsid w:val="00A925FD"/>
    <w:rsid w:val="00A955BE"/>
    <w:rsid w:val="00AA4D69"/>
    <w:rsid w:val="00AA7615"/>
    <w:rsid w:val="00AF1E02"/>
    <w:rsid w:val="00AF3313"/>
    <w:rsid w:val="00B07219"/>
    <w:rsid w:val="00B0771F"/>
    <w:rsid w:val="00B147F5"/>
    <w:rsid w:val="00B473BE"/>
    <w:rsid w:val="00B70975"/>
    <w:rsid w:val="00B81888"/>
    <w:rsid w:val="00BC38AF"/>
    <w:rsid w:val="00BC5A91"/>
    <w:rsid w:val="00BD026F"/>
    <w:rsid w:val="00BD267D"/>
    <w:rsid w:val="00BD6F5C"/>
    <w:rsid w:val="00BF6A93"/>
    <w:rsid w:val="00C40650"/>
    <w:rsid w:val="00C51111"/>
    <w:rsid w:val="00C62EED"/>
    <w:rsid w:val="00C71511"/>
    <w:rsid w:val="00C7468E"/>
    <w:rsid w:val="00C75B76"/>
    <w:rsid w:val="00C77DA4"/>
    <w:rsid w:val="00CD0681"/>
    <w:rsid w:val="00CD7734"/>
    <w:rsid w:val="00CD7CD7"/>
    <w:rsid w:val="00CE67E3"/>
    <w:rsid w:val="00CF6C12"/>
    <w:rsid w:val="00D01172"/>
    <w:rsid w:val="00D07118"/>
    <w:rsid w:val="00D10F2E"/>
    <w:rsid w:val="00D3115C"/>
    <w:rsid w:val="00D408E6"/>
    <w:rsid w:val="00D43324"/>
    <w:rsid w:val="00D51D9D"/>
    <w:rsid w:val="00D55909"/>
    <w:rsid w:val="00D55CFC"/>
    <w:rsid w:val="00D62C6A"/>
    <w:rsid w:val="00D81314"/>
    <w:rsid w:val="00D97821"/>
    <w:rsid w:val="00DC78AF"/>
    <w:rsid w:val="00DC7FFE"/>
    <w:rsid w:val="00DE2A31"/>
    <w:rsid w:val="00DE5F4B"/>
    <w:rsid w:val="00DF2FB6"/>
    <w:rsid w:val="00DF43B8"/>
    <w:rsid w:val="00E0256A"/>
    <w:rsid w:val="00E32B42"/>
    <w:rsid w:val="00E67067"/>
    <w:rsid w:val="00E72B7E"/>
    <w:rsid w:val="00E9465E"/>
    <w:rsid w:val="00E9651B"/>
    <w:rsid w:val="00E972F9"/>
    <w:rsid w:val="00EA6ED9"/>
    <w:rsid w:val="00EC165D"/>
    <w:rsid w:val="00ED5823"/>
    <w:rsid w:val="00ED72F1"/>
    <w:rsid w:val="00EE4083"/>
    <w:rsid w:val="00EE493D"/>
    <w:rsid w:val="00EF3C40"/>
    <w:rsid w:val="00EF4F72"/>
    <w:rsid w:val="00EF7ACA"/>
    <w:rsid w:val="00F01215"/>
    <w:rsid w:val="00F01727"/>
    <w:rsid w:val="00F20CF0"/>
    <w:rsid w:val="00F42CD0"/>
    <w:rsid w:val="00F463E0"/>
    <w:rsid w:val="00F54314"/>
    <w:rsid w:val="00F71B60"/>
    <w:rsid w:val="00F751F4"/>
    <w:rsid w:val="00F84FC1"/>
    <w:rsid w:val="00F854EC"/>
    <w:rsid w:val="00FA6C6C"/>
    <w:rsid w:val="00FB554C"/>
    <w:rsid w:val="00FB7901"/>
    <w:rsid w:val="00FB7CA1"/>
    <w:rsid w:val="00FE093C"/>
    <w:rsid w:val="00FF2A5B"/>
    <w:rsid w:val="00FF348C"/>
    <w:rsid w:val="00FF79EE"/>
    <w:rsid w:val="29CA34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qFormat="1"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qFormat="1" w:unhideWhenUsed="0" w:uiPriority="34" w:semiHidden="0" w:name="List Paragraph"/>
  </w:latentStyles>
  <w:style w:type="paragraph" w:default="1" w:styleId="1">
    <w:name w:val="Normal"/>
    <w:qFormat/>
    <w:uiPriority w:val="0"/>
    <w:pPr>
      <w:spacing w:after="200" w:line="276" w:lineRule="auto"/>
    </w:pPr>
    <w:rPr>
      <w:rFonts w:asciiTheme="minorHAnsi" w:hAnsiTheme="minorHAnsi" w:eastAsiaTheme="minorHAnsi" w:cstheme="minorBidi"/>
      <w:sz w:val="22"/>
      <w:szCs w:val="22"/>
      <w:lang w:val="ru-RU" w:eastAsia="en-US" w:bidi="ar-SA"/>
    </w:rPr>
  </w:style>
  <w:style w:type="character" w:default="1" w:styleId="4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8"/>
    <w:semiHidden/>
    <w:unhideWhenUsed/>
    <w:uiPriority w:val="99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3">
    <w:name w:val="footnote text"/>
    <w:basedOn w:val="1"/>
    <w:link w:val="9"/>
    <w:semiHidden/>
    <w:unhideWhenUsed/>
    <w:uiPriority w:val="99"/>
    <w:pPr>
      <w:spacing w:after="0" w:line="240" w:lineRule="auto"/>
    </w:pPr>
    <w:rPr>
      <w:sz w:val="20"/>
      <w:szCs w:val="20"/>
    </w:rPr>
  </w:style>
  <w:style w:type="character" w:styleId="5">
    <w:name w:val="footnote reference"/>
    <w:basedOn w:val="4"/>
    <w:semiHidden/>
    <w:unhideWhenUsed/>
    <w:qFormat/>
    <w:uiPriority w:val="99"/>
    <w:rPr>
      <w:vertAlign w:val="superscript"/>
    </w:rPr>
  </w:style>
  <w:style w:type="paragraph" w:styleId="7">
    <w:name w:val="List Paragraph"/>
    <w:basedOn w:val="1"/>
    <w:qFormat/>
    <w:uiPriority w:val="34"/>
    <w:pPr>
      <w:ind w:left="720"/>
      <w:contextualSpacing/>
    </w:pPr>
  </w:style>
  <w:style w:type="character" w:customStyle="1" w:styleId="8">
    <w:name w:val="Текст выноски Знак"/>
    <w:basedOn w:val="4"/>
    <w:link w:val="2"/>
    <w:semiHidden/>
    <w:uiPriority w:val="99"/>
    <w:rPr>
      <w:rFonts w:ascii="Tahoma" w:hAnsi="Tahoma" w:cs="Tahoma"/>
      <w:sz w:val="16"/>
      <w:szCs w:val="16"/>
    </w:rPr>
  </w:style>
  <w:style w:type="character" w:customStyle="1" w:styleId="9">
    <w:name w:val="Текст сноски Знак"/>
    <w:basedOn w:val="4"/>
    <w:link w:val="3"/>
    <w:semiHidden/>
    <w:uiPriority w:val="99"/>
    <w:rPr>
      <w:sz w:val="20"/>
      <w:szCs w:val="20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5.jpeg"/><Relationship Id="rId8" Type="http://schemas.openxmlformats.org/officeDocument/2006/relationships/image" Target="media/image4.jpeg"/><Relationship Id="rId7" Type="http://schemas.openxmlformats.org/officeDocument/2006/relationships/image" Target="media/image3.jpeg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theme" Target="theme/theme1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5" Type="http://schemas.openxmlformats.org/officeDocument/2006/relationships/fontTable" Target="fontTable.xml"/><Relationship Id="rId14" Type="http://schemas.openxmlformats.org/officeDocument/2006/relationships/customXml" Target="../customXml/item2.xml"/><Relationship Id="rId13" Type="http://schemas.openxmlformats.org/officeDocument/2006/relationships/numbering" Target="numbering.xml"/><Relationship Id="rId12" Type="http://schemas.openxmlformats.org/officeDocument/2006/relationships/customXml" Target="../customXml/item1.xml"/><Relationship Id="rId11" Type="http://schemas.openxmlformats.org/officeDocument/2006/relationships/image" Target="media/image7.jpeg"/><Relationship Id="rId10" Type="http://schemas.openxmlformats.org/officeDocument/2006/relationships/image" Target="media/image6.pn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ECAA861D-C2EA-4CAA-8D7A-9FB72FCFE248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5</Pages>
  <Words>1611</Words>
  <Characters>9185</Characters>
  <Lines>76</Lines>
  <Paragraphs>21</Paragraphs>
  <TotalTime>513</TotalTime>
  <ScaleCrop>false</ScaleCrop>
  <LinksUpToDate>false</LinksUpToDate>
  <CharactersWithSpaces>10775</CharactersWithSpaces>
  <Application>WPS Office_11.2.0.9629_F1E327BC-269C-435d-A152-05C5408002CA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2023-11-27T12:15:00Z</dcterms:created>
  <dc:creator>Пользователь Windows</dc:creator>
  <cp:lastModifiedBy>user</cp:lastModifiedBy>
  <cp:lastPrinted>2023-11-21T05:40:00Z</cp:lastPrinted>
  <dcterms:modified xsi:type="dcterms:W3CDTF">2025-04-01T12:08:21Z</dcterms:modified>
  <cp:revision>67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1049-11.2.0.9629</vt:lpwstr>
  </property>
</Properties>
</file>